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8F55" w14:textId="74F40D63" w:rsidR="00502363" w:rsidRDefault="00502363" w:rsidP="005023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363">
        <w:rPr>
          <w:rFonts w:ascii="Times New Roman" w:hAnsi="Times New Roman" w:cs="Times New Roman"/>
          <w:b/>
          <w:bCs/>
          <w:sz w:val="28"/>
          <w:szCs w:val="28"/>
        </w:rPr>
        <w:t>LISTA</w:t>
      </w:r>
      <w:r w:rsidRPr="00502363">
        <w:rPr>
          <w:rFonts w:ascii="Times New Roman" w:hAnsi="Times New Roman" w:cs="Times New Roman"/>
          <w:b/>
          <w:bCs/>
          <w:sz w:val="28"/>
          <w:szCs w:val="28"/>
        </w:rPr>
        <w:br/>
        <w:t>bunurilor ce conduc la excluderea acordării venitului minim de incluziune</w:t>
      </w:r>
    </w:p>
    <w:p w14:paraId="5F96B8B5" w14:textId="77777777" w:rsidR="00502363" w:rsidRPr="00502363" w:rsidRDefault="00502363" w:rsidP="005023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AA9CA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b/>
          <w:bCs/>
          <w:sz w:val="24"/>
          <w:szCs w:val="24"/>
        </w:rPr>
        <w:t>A. Bunuri imobile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0723E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sz w:val="24"/>
          <w:szCs w:val="24"/>
        </w:rPr>
        <w:t xml:space="preserve">    Clădiri, alte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locative în afara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de domiciliu, precum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terenuri situate în intravilan cu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de peste 1.200 mp în zona urbană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2.500 mp în zona rurală, în afara terenurilor de împrejmuire 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curţii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aferente </w:t>
      </w:r>
    </w:p>
    <w:p w14:paraId="379B6F6B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b/>
          <w:bCs/>
          <w:sz w:val="24"/>
          <w:szCs w:val="24"/>
        </w:rPr>
        <w:t>B. Bunuri mobile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E2CDE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sz w:val="24"/>
          <w:szCs w:val="24"/>
        </w:rPr>
        <w:t>    </w:t>
      </w:r>
      <w:r w:rsidRPr="0050236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02363">
        <w:rPr>
          <w:rFonts w:ascii="Times New Roman" w:hAnsi="Times New Roman" w:cs="Times New Roman"/>
          <w:sz w:val="24"/>
          <w:szCs w:val="24"/>
        </w:rPr>
        <w:t xml:space="preserve"> Mai mult de un vehicul cu o vechime mai mare de 10 ani, cu drept de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pe drumurile publice</w:t>
      </w:r>
      <w:r w:rsidRPr="00502363">
        <w:rPr>
          <w:rFonts w:ascii="Times New Roman" w:hAnsi="Times New Roman" w:cs="Times New Roman"/>
          <w:sz w:val="24"/>
          <w:szCs w:val="24"/>
        </w:rPr>
        <w:br/>
        <w:t>    </w:t>
      </w:r>
      <w:r w:rsidRPr="0050236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02363">
        <w:rPr>
          <w:rFonts w:ascii="Times New Roman" w:hAnsi="Times New Roman" w:cs="Times New Roman"/>
          <w:sz w:val="24"/>
          <w:szCs w:val="24"/>
        </w:rPr>
        <w:t xml:space="preserve"> Autovehicul cu drept de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pe drumurile publice cu o vechime mai mică de 10 ani, cu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celor utilizate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/sau adaptate pentru transportul persoanelor cu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br/>
        <w:t>    </w:t>
      </w:r>
      <w:r w:rsidRPr="0050236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Şalupe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, bărci cu motor, iahturi sau alte tipuri de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ambarcaţiuni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celor necesare pentru transport în cazul persoanelor care locuiesc în aria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Rezervaţiei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Biosferei "Delta Dunării" </w:t>
      </w:r>
    </w:p>
    <w:p w14:paraId="77DC280C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b/>
          <w:bCs/>
          <w:sz w:val="24"/>
          <w:szCs w:val="24"/>
          <w:u w:val="single"/>
        </w:rPr>
        <w:t>NOTĂ: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947AC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sz w:val="24"/>
          <w:szCs w:val="24"/>
        </w:rPr>
        <w:t xml:space="preserve">    În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în urma cedării dreptului de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a bunului.</w:t>
      </w:r>
      <w:r w:rsidRPr="00502363">
        <w:rPr>
          <w:rFonts w:ascii="Times New Roman" w:hAnsi="Times New Roman" w:cs="Times New Roman"/>
          <w:sz w:val="24"/>
          <w:szCs w:val="24"/>
        </w:rPr>
        <w:br/>
        <w:t xml:space="preserve">    Persoana sau familia care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pe lângă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de domiciliu o cotă - parte dintr-o altă clădire/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locativ/imobil poate beneficia de venit minim de incluziune indiferent de mărimea cotei, dacă prin această posesiune nu poate valorifica bunul respectiv. </w:t>
      </w:r>
    </w:p>
    <w:p w14:paraId="1D3F804E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b/>
          <w:bCs/>
          <w:sz w:val="24"/>
          <w:szCs w:val="24"/>
        </w:rPr>
        <w:t>C. Depozite bancare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9FC9D" w14:textId="77777777" w:rsid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sz w:val="24"/>
          <w:szCs w:val="24"/>
        </w:rPr>
        <w:t xml:space="preserve">    Cel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unul dintre membrii familiei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, în calitate de titular, unul sau mai multe conturi/depozite bancare, a căror sumă totală este mai mare de 3 ori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de valoarea </w:t>
      </w:r>
      <w:proofErr w:type="spellStart"/>
      <w:r w:rsidRPr="00502363">
        <w:rPr>
          <w:rFonts w:ascii="Times New Roman" w:hAnsi="Times New Roman" w:cs="Times New Roman"/>
          <w:sz w:val="24"/>
          <w:szCs w:val="24"/>
        </w:rPr>
        <w:t>câştigului</w:t>
      </w:r>
      <w:proofErr w:type="spellEnd"/>
      <w:r w:rsidRPr="00502363">
        <w:rPr>
          <w:rFonts w:ascii="Times New Roman" w:hAnsi="Times New Roman" w:cs="Times New Roman"/>
          <w:sz w:val="24"/>
          <w:szCs w:val="24"/>
        </w:rPr>
        <w:t xml:space="preserve"> salarial mediu brut prevăzut de </w:t>
      </w:r>
      <w:hyperlink r:id="rId4" w:history="1">
        <w:r w:rsidRPr="00502363">
          <w:rPr>
            <w:rStyle w:val="Hyperlink"/>
            <w:rFonts w:ascii="Times New Roman" w:hAnsi="Times New Roman" w:cs="Times New Roman"/>
            <w:sz w:val="24"/>
            <w:szCs w:val="24"/>
          </w:rPr>
          <w:t>Legea</w:t>
        </w:r>
      </w:hyperlink>
      <w:r w:rsidRPr="00502363">
        <w:rPr>
          <w:rFonts w:ascii="Times New Roman" w:hAnsi="Times New Roman" w:cs="Times New Roman"/>
          <w:sz w:val="24"/>
          <w:szCs w:val="24"/>
        </w:rPr>
        <w:t xml:space="preserve"> asigurărilor sociale de stat. </w:t>
      </w:r>
    </w:p>
    <w:p w14:paraId="0BA1373B" w14:textId="77777777" w:rsid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1A9E1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CE96D" w14:textId="77777777" w:rsidR="00502363" w:rsidRPr="00502363" w:rsidRDefault="00502363" w:rsidP="00502363">
      <w:pPr>
        <w:jc w:val="both"/>
        <w:rPr>
          <w:rFonts w:ascii="Times New Roman" w:hAnsi="Times New Roman" w:cs="Times New Roman"/>
          <w:sz w:val="24"/>
          <w:szCs w:val="24"/>
        </w:rPr>
      </w:pPr>
      <w:r w:rsidRPr="00502363">
        <w:rPr>
          <w:rFonts w:ascii="Times New Roman" w:hAnsi="Times New Roman" w:cs="Times New Roman"/>
          <w:sz w:val="24"/>
          <w:szCs w:val="24"/>
        </w:rPr>
        <w:t>    </w:t>
      </w:r>
      <w:r w:rsidRPr="00502363">
        <w:rPr>
          <w:rFonts w:ascii="Times New Roman" w:hAnsi="Times New Roman" w:cs="Times New Roman"/>
          <w:i/>
          <w:iCs/>
          <w:sz w:val="24"/>
          <w:szCs w:val="24"/>
        </w:rPr>
        <w:t xml:space="preserve">(anexa nr. 4 din anexa la </w:t>
      </w:r>
      <w:hyperlink r:id="rId5" w:history="1">
        <w:r w:rsidRPr="0050236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H.G. nr. 1154/2022</w:t>
        </w:r>
      </w:hyperlink>
      <w:r w:rsidRPr="00502363">
        <w:rPr>
          <w:rFonts w:ascii="Times New Roman" w:hAnsi="Times New Roman" w:cs="Times New Roman"/>
          <w:i/>
          <w:iCs/>
          <w:sz w:val="24"/>
          <w:szCs w:val="24"/>
        </w:rPr>
        <w:t xml:space="preserve"> - publicată la 26 septembrie 2022, în aplicarea </w:t>
      </w:r>
      <w:hyperlink r:id="rId6" w:history="1">
        <w:r w:rsidRPr="0050236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Legii nr. 196/2016</w:t>
        </w:r>
      </w:hyperlink>
      <w:r w:rsidRPr="00502363">
        <w:rPr>
          <w:rFonts w:ascii="Times New Roman" w:hAnsi="Times New Roman" w:cs="Times New Roman"/>
          <w:i/>
          <w:iCs/>
          <w:sz w:val="24"/>
          <w:szCs w:val="24"/>
        </w:rPr>
        <w:t xml:space="preserve">, în vigoare de la 1 iunie 2023, înlocuită prin art. II pct. 30 din </w:t>
      </w:r>
      <w:hyperlink r:id="rId7" w:history="1">
        <w:r w:rsidRPr="0050236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H.G. nr. 507/2023</w:t>
        </w:r>
      </w:hyperlink>
      <w:r w:rsidRPr="00502363">
        <w:rPr>
          <w:rFonts w:ascii="Times New Roman" w:hAnsi="Times New Roman" w:cs="Times New Roman"/>
          <w:i/>
          <w:iCs/>
          <w:sz w:val="24"/>
          <w:szCs w:val="24"/>
        </w:rPr>
        <w:t xml:space="preserve"> - publicată la 26 mai 2023)</w:t>
      </w:r>
      <w:r w:rsidRPr="0050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B8831" w14:textId="77777777" w:rsidR="008905BE" w:rsidRPr="00502363" w:rsidRDefault="008905BE" w:rsidP="00502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05BE" w:rsidRPr="0050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9"/>
    <w:rsid w:val="00046629"/>
    <w:rsid w:val="00064A6B"/>
    <w:rsid w:val="003F250B"/>
    <w:rsid w:val="00502363"/>
    <w:rsid w:val="008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8BAD"/>
  <w15:chartTrackingRefBased/>
  <w15:docId w15:val="{24DE0645-995A-4A34-BBAC-B1BECB3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236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02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4965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271807" TargetMode="External"/><Relationship Id="rId5" Type="http://schemas.openxmlformats.org/officeDocument/2006/relationships/hyperlink" Target="unsaved://LexNavigator.htm/DB0;LexAct%20478188" TargetMode="External"/><Relationship Id="rId4" Type="http://schemas.openxmlformats.org/officeDocument/2006/relationships/hyperlink" Target="unsaved://LexNavigator.htm/DB0;LexAct%204839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PRODAN MIHAELA</dc:creator>
  <cp:keywords/>
  <dc:description/>
  <cp:lastModifiedBy>PRODAN MIHAELA</cp:lastModifiedBy>
  <cp:revision>2</cp:revision>
  <dcterms:created xsi:type="dcterms:W3CDTF">2023-10-26T17:46:00Z</dcterms:created>
  <dcterms:modified xsi:type="dcterms:W3CDTF">2023-10-26T17:47:00Z</dcterms:modified>
</cp:coreProperties>
</file>